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end="14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ind w:end="14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ind w:end="14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ind w:end="14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ind w:end="14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5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>
      <w:pPr>
        <w:pStyle w:val="Normal"/>
        <w:spacing w:lineRule="auto" w:line="252"/>
        <w:jc w:val="both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Book Antiqua" w:hAnsi="Book Antiqua" w:eastAsia="Times New Roman" w:cs="Calibri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Book Antiqua" w:hAnsi="Book Antiqua"/>
          <w:b/>
          <w:bCs/>
          <w:sz w:val="24"/>
          <w:szCs w:val="24"/>
        </w:rPr>
        <w:t xml:space="preserve">Si comunica che </w:t>
      </w:r>
      <w:r>
        <w:rPr>
          <w:rFonts w:eastAsia="Times New Roman" w:cs="Calibri" w:ascii="Book Antiqua" w:hAnsi="Book Antiqua"/>
          <w:b/>
          <w:bCs/>
          <w:kern w:val="0"/>
          <w:sz w:val="24"/>
          <w:szCs w:val="24"/>
          <w:lang w:eastAsia="it-IT"/>
          <w14:ligatures w14:val="none"/>
        </w:rPr>
        <w:t xml:space="preserve">la Confederazione USB, USI CIT, ADL Cobas, CLAP, Confederazione Cobas, SIAL Cobas, CIB Unicobas, con adesione di USI P.I., SSB (Sindacato Sociale di Base), USI Educazione, CUB SUR, FISI, Unicobas Scuola&amp;Università, Cobas Pubblico Impiego hanno proclamato uno sciopero generale per l’intera giornata del 30 ottobre 2026.* </w:t>
      </w:r>
    </w:p>
    <w:p>
      <w:pPr>
        <w:pStyle w:val="Normal"/>
        <w:spacing w:lineRule="auto" w:line="252"/>
        <w:jc w:val="both"/>
        <w:rPr>
          <w:rFonts w:ascii="Book Antiqua" w:hAnsi="Book Antiqua" w:eastAsia="Aptos" w:eastAsiaTheme="minorHAnsi"/>
          <w:b/>
          <w:bCs/>
          <w:sz w:val="24"/>
          <w:szCs w:val="24"/>
        </w:rPr>
      </w:pPr>
      <w:r>
        <w:rPr>
          <w:rFonts w:eastAsia="Aptos" w:ascii="Book Antiqua" w:hAnsi="Book Antiqua" w:eastAsiaTheme="minorHAnsi"/>
          <w:b/>
          <w:bCs/>
          <w:sz w:val="24"/>
          <w:szCs w:val="24"/>
        </w:rPr>
        <w:t>Per la medesima intera giornata del 30 ottobre 2026, i Cobas Scuole Sardegna e i Cobas Scuola Emilia-Romagna hanno proclamato uno sciopero regionale di tutto il personale del Comparto e dell’Area Istruzione e Ricerca, settore “Scuola”, rispettivamente, della regione Sardegna e della regione Emilia-Romagna.**</w:t>
      </w:r>
    </w:p>
    <w:p>
      <w:pPr>
        <w:pStyle w:val="Normal"/>
        <w:spacing w:lineRule="auto" w:line="252"/>
        <w:jc w:val="both"/>
        <w:rPr/>
      </w:pPr>
      <w:r>
        <w:rPr>
          <w:rFonts w:eastAsia="Aptos" w:ascii="Book Antiqua" w:hAnsi="Book Antiqua" w:eastAsiaTheme="minorHAnsi"/>
          <w:b/>
          <w:bCs/>
          <w:sz w:val="24"/>
          <w:szCs w:val="24"/>
        </w:rPr>
        <w:t xml:space="preserve">* </w:t>
      </w:r>
      <w:hyperlink r:id="rId2">
        <w:r>
          <w:rPr>
            <w:rStyle w:val="Hyperlink"/>
            <w:color w:val="0000FF"/>
          </w:rPr>
          <w:t>Sciopero Plurisettoriale del 30 ottobre 2026 - Cruscotto degli scioperi nel pubblico impiego</w:t>
        </w:r>
      </w:hyperlink>
      <w:r>
        <w:rPr/>
        <w:t xml:space="preserve">; </w:t>
      </w:r>
      <w:hyperlink r:id="rId3">
        <w:r>
          <w:rPr>
            <w:rStyle w:val="Hyperlink"/>
            <w:color w:val="0000FF"/>
          </w:rPr>
          <w:t>Sciopero generale di tutte le categorie pubbliche e private del 30 ottobre 2026 - Cruscotto degli scioperi nel pubblico impiego</w:t>
        </w:r>
      </w:hyperlink>
      <w:r>
        <w:rPr/>
        <w:t xml:space="preserve">; </w:t>
      </w:r>
      <w:hyperlink r:id="rId4">
        <w:r>
          <w:rPr>
            <w:rStyle w:val="Hyperlink"/>
            <w:color w:val="0000FF"/>
          </w:rPr>
          <w:t>Sciopero Generale di tutte le categorie pubbliche e private del 30 ottobre 2026 - Cruscotto degli scioperi nel pubblico impiego</w:t>
        </w:r>
      </w:hyperlink>
      <w:r>
        <w:rPr/>
        <w:t xml:space="preserve">; </w:t>
      </w:r>
      <w:hyperlink r:id="rId5">
        <w:r>
          <w:rPr>
            <w:rStyle w:val="Hyperlink"/>
            <w:color w:val="0000FF"/>
          </w:rPr>
          <w:t>Sciopero Generale di tutti i settori pubblici e privati del 30 ottobre 2026 - Cruscotto degli scioperi nel pubblico impiego</w:t>
        </w:r>
      </w:hyperlink>
      <w:r>
        <w:rPr/>
        <w:t xml:space="preserve">; </w:t>
      </w:r>
      <w:hyperlink r:id="rId6">
        <w:r>
          <w:rPr>
            <w:rStyle w:val="Hyperlink"/>
            <w:color w:val="0000FF"/>
          </w:rPr>
          <w:t>Dettaglio sciopero | Commissione Garanzia Sciopero</w:t>
        </w:r>
      </w:hyperlink>
      <w:r>
        <w:rPr/>
        <w:t xml:space="preserve">; </w:t>
      </w:r>
      <w:hyperlink r:id="rId7">
        <w:r>
          <w:rPr>
            <w:rStyle w:val="Hyperlink"/>
            <w:color w:val="0000FF"/>
          </w:rPr>
          <w:t>Dettaglio sciopero | Commissione Garanzia Sciopero</w:t>
        </w:r>
      </w:hyperlink>
      <w:r>
        <w:rPr/>
        <w:t xml:space="preserve">; </w:t>
      </w:r>
      <w:hyperlink r:id="rId8">
        <w:r>
          <w:rPr>
            <w:rStyle w:val="Hyperlink"/>
            <w:color w:val="0000FF"/>
          </w:rPr>
          <w:t>Dettaglio sciopero | Commissione Garanzia Sciopero</w:t>
        </w:r>
      </w:hyperlink>
      <w:r>
        <w:rPr/>
        <w:t xml:space="preserve">; </w:t>
      </w:r>
      <w:hyperlink r:id="rId9">
        <w:r>
          <w:rPr>
            <w:rStyle w:val="Hyperlink"/>
            <w:color w:val="0000FF"/>
          </w:rPr>
          <w:t>Dettaglio sciopero | Commissione Garanzia Sciopero</w:t>
        </w:r>
      </w:hyperlink>
      <w:r>
        <w:rPr/>
        <w:t>.</w:t>
      </w:r>
    </w:p>
    <w:p>
      <w:pPr>
        <w:pStyle w:val="Normal"/>
        <w:spacing w:lineRule="auto" w:line="240" w:before="0" w:after="0"/>
        <w:rPr>
          <w:rFonts w:eastAsia="Times New Roman"/>
        </w:rPr>
      </w:pPr>
      <w:r>
        <w:rPr/>
        <w:t xml:space="preserve">** </w:t>
      </w:r>
      <w:hyperlink r:id="rId10">
        <w:r>
          <w:rPr>
            <w:rStyle w:val="Hyperlink"/>
            <w:color w:val="0000FF"/>
          </w:rPr>
          <w:t>Dettaglio sciopero | Commissione Garanzia Sciopero</w:t>
        </w:r>
      </w:hyperlink>
      <w:r>
        <w:rPr/>
        <w:t xml:space="preserve">; </w:t>
      </w:r>
      <w:hyperlink r:id="rId11">
        <w:r>
          <w:rPr>
            <w:rStyle w:val="Hyperlink"/>
            <w:color w:val="0000FF"/>
          </w:rPr>
          <w:t>Dettaglio sciopero | Commissione Garanzia Sciopero</w:t>
        </w:r>
      </w:hyperlink>
      <w:r>
        <w:rPr>
          <w:rFonts w:eastAsia="Times New Roman"/>
        </w:rPr>
        <w:t>.</w:t>
      </w:r>
    </w:p>
    <w:p>
      <w:pPr>
        <w:pStyle w:val="Normal"/>
        <w:spacing w:lineRule="auto" w:line="252"/>
        <w:jc w:val="both"/>
        <w:rPr>
          <w:rFonts w:ascii="Book Antiqua" w:hAnsi="Book Antiqua" w:eastAsia="Aptos" w:eastAsiaTheme="minorHAnsi"/>
          <w:b/>
          <w:bCs/>
          <w:sz w:val="24"/>
          <w:szCs w:val="24"/>
        </w:rPr>
      </w:pPr>
      <w:r>
        <w:rPr>
          <w:rFonts w:eastAsia="Aptos" w:eastAsiaTheme="minorHAnsi" w:ascii="Book Antiqua" w:hAnsi="Book Antiqua"/>
          <w:b/>
          <w:bCs/>
          <w:sz w:val="24"/>
          <w:szCs w:val="24"/>
        </w:rPr>
      </w:r>
    </w:p>
    <w:p>
      <w:pPr>
        <w:pStyle w:val="Normal"/>
        <w:spacing w:lineRule="auto" w:line="252"/>
        <w:jc w:val="both"/>
        <w:rPr>
          <w:rFonts w:ascii="Times New Roman" w:hAnsi="Times New Roman" w:eastAsia="Aptos" w:eastAsiaTheme="minorHAnsi"/>
          <w:b/>
          <w:bCs/>
          <w:sz w:val="24"/>
          <w:szCs w:val="24"/>
        </w:rPr>
      </w:pPr>
      <w:r>
        <w:rPr>
          <w:rFonts w:eastAsia="Aptos" w:eastAsiaTheme="minorHAnsi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52"/>
        <w:jc w:val="both"/>
        <w:rPr>
          <w:rFonts w:ascii="Times New Roman" w:hAnsi="Times New Roman" w:eastAsia="Aptos" w:eastAsiaTheme="minorHAnsi"/>
          <w:b/>
          <w:bCs/>
          <w:sz w:val="24"/>
          <w:szCs w:val="24"/>
        </w:rPr>
      </w:pPr>
      <w:r>
        <w:rPr>
          <w:rFonts w:eastAsia="Aptos" w:eastAsiaTheme="minorHAnsi" w:ascii="Times New Roman" w:hAnsi="Times New Roman"/>
          <w:b/>
          <w:b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16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">
    <w:charset w:val="00" w:characterSet="windows-1252"/>
    <w:family w:val="swiss"/>
    <w:pitch w:val="variable"/>
  </w:font>
  <w:font w:name="Aptos Display">
    <w:charset w:val="00" w:characterSet="windows-1252"/>
    <w:family w:val="swiss"/>
    <w:pitch w:val="variable"/>
  </w:font>
  <w:font w:name="Aptos Display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Book Antiqua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063f9"/>
    <w:pPr>
      <w:widowControl/>
      <w:bidi w:val="0"/>
      <w:spacing w:lineRule="auto" w:line="257" w:before="0" w:after="160"/>
      <w:jc w:val="start"/>
    </w:pPr>
    <w:rPr>
      <w:rFonts w:ascii="Aptos" w:hAnsi="Aptos" w:eastAsia="Aptos" w:cs="Times New Roman" w:asciiTheme="minorHAnsi" w:eastAsiaTheme="minorHAnsi" w:hAnsiTheme="minorHAnsi"/>
      <w:color w:val="auto"/>
      <w:kern w:val="2"/>
      <w:sz w:val="22"/>
      <w:szCs w:val="22"/>
      <w:lang w:val="it-IT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da22b6"/>
    <w:pPr>
      <w:keepNext w:val="true"/>
      <w:keepLines/>
      <w:spacing w:lineRule="auto" w:line="259"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da22b6"/>
    <w:pPr>
      <w:keepNext w:val="true"/>
      <w:keepLines/>
      <w:spacing w:lineRule="auto" w:line="259"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da22b6"/>
    <w:pPr>
      <w:keepNext w:val="true"/>
      <w:keepLines/>
      <w:spacing w:lineRule="auto" w:line="259"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da22b6"/>
    <w:pPr>
      <w:keepNext w:val="true"/>
      <w:keepLines/>
      <w:spacing w:lineRule="auto" w:line="259"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da22b6"/>
    <w:pPr>
      <w:keepNext w:val="true"/>
      <w:keepLines/>
      <w:spacing w:lineRule="auto" w:line="259"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da22b6"/>
    <w:pPr>
      <w:keepNext w:val="true"/>
      <w:keepLines/>
      <w:spacing w:lineRule="auto" w:line="259"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da22b6"/>
    <w:pPr>
      <w:keepNext w:val="true"/>
      <w:keepLines/>
      <w:spacing w:lineRule="auto" w:line="259"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da22b6"/>
    <w:pPr>
      <w:keepNext w:val="true"/>
      <w:keepLines/>
      <w:spacing w:lineRule="auto" w:line="259" w:before="0" w:after="0"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da22b6"/>
    <w:pPr>
      <w:keepNext w:val="true"/>
      <w:keepLines/>
      <w:spacing w:lineRule="auto" w:line="259" w:before="0" w:after="0"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da22b6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da22b6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da22b6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da22b6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da22b6"/>
    <w:rPr>
      <w:rFonts w:eastAsia="" w:cs="" w:cstheme="majorBidi" w:eastAsiaTheme="majorEastAsia"/>
      <w:color w:themeColor="accent1" w:themeShade="bf" w:val="0F4761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da22b6"/>
    <w:rPr>
      <w:rFonts w:eastAsia="" w:cs="" w:cstheme="majorBidi" w:eastAsiaTheme="majorEastAsia"/>
      <w:i/>
      <w:iCs/>
      <w:color w:themeColor="text1" w:themeTint="a6" w:val="595959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da22b6"/>
    <w:rPr>
      <w:rFonts w:eastAsia="" w:cs="" w:cstheme="majorBidi" w:eastAsiaTheme="majorEastAsia"/>
      <w:color w:themeColor="text1" w:themeTint="a6" w:val="595959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da22b6"/>
    <w:rPr>
      <w:rFonts w:eastAsia="" w:cs="" w:cstheme="majorBidi" w:eastAsiaTheme="majorEastAsia"/>
      <w:i/>
      <w:iCs/>
      <w:color w:themeColor="text1" w:themeTint="d8" w:val="272727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da22b6"/>
    <w:rPr>
      <w:rFonts w:eastAsia="" w:cs="" w:cstheme="majorBidi" w:eastAsiaTheme="majorEastAsia"/>
      <w:color w:themeColor="text1" w:themeTint="d8" w:val="272727"/>
    </w:rPr>
  </w:style>
  <w:style w:type="character" w:styleId="TitoloCarattere" w:customStyle="1">
    <w:name w:val="Titolo Carattere"/>
    <w:basedOn w:val="DefaultParagraphFont"/>
    <w:uiPriority w:val="10"/>
    <w:qFormat/>
    <w:rsid w:val="00da22b6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da22b6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da22b6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a22b6"/>
    <w:rPr>
      <w:i/>
      <w:iCs/>
      <w:color w:themeColor="accent1" w:themeShade="bf" w:val="0F4761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da22b6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da22b6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unhideWhenUsed/>
    <w:rsid w:val="00a106c3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106c3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153a3f"/>
    <w:rPr>
      <w:color w:themeColor="followedHyperlink" w:val="96607D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oloCarattere"/>
    <w:uiPriority w:val="10"/>
    <w:qFormat/>
    <w:rsid w:val="00da22b6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da22b6"/>
    <w:pPr>
      <w:spacing w:lineRule="auto" w:line="259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/>
    <w:rsid w:val="00da22b6"/>
    <w:pPr>
      <w:spacing w:lineRule="auto" w:line="259" w:before="160" w:after="160"/>
      <w:jc w:val="center"/>
    </w:pPr>
    <w:rPr>
      <w:rFonts w:ascii="Aptos" w:hAnsi="Aptos" w:eastAsia="Aptos" w:cs="" w:asciiTheme="minorHAnsi" w:cstheme="minorBidi" w:eastAsiaTheme="minorHAnsi" w:hAnsiTheme="minorHAnsi"/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a22b6"/>
    <w:pPr>
      <w:spacing w:lineRule="auto" w:line="259" w:before="0" w:after="160"/>
      <w:ind w:start="720"/>
      <w:contextualSpacing/>
    </w:pPr>
    <w:rPr>
      <w:rFonts w:ascii="Aptos" w:hAnsi="Aptos" w:eastAsia="Aptos" w:cs="" w:asciiTheme="minorHAnsi" w:cstheme="minorBidi" w:eastAsiaTheme="minorHAnsi" w:hAnsiTheme="minorHAnsi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lineRule="auto" w:line="259" w:before="360" w:after="360"/>
      <w:ind w:start="864" w:end="864"/>
      <w:jc w:val="center"/>
    </w:pPr>
    <w:rPr>
      <w:rFonts w:ascii="Aptos" w:hAnsi="Aptos" w:eastAsia="Aptos" w:cs="" w:asciiTheme="minorHAnsi" w:cstheme="minorBidi" w:eastAsiaTheme="minorHAnsi" w:hAnsiTheme="minorHAnsi"/>
      <w:i/>
      <w:iCs/>
      <w:color w:themeColor="accent1" w:themeShade="bf" w:val="0F4761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crusc-gepas.perlapa.gov.it/detail/1fdf3a51-2b8e-48b4-ae74-2f300e6495ea" TargetMode="External"/><Relationship Id="rId3" Type="http://schemas.openxmlformats.org/officeDocument/2006/relationships/hyperlink" Target="https://crusc-gepas.perlapa.gov.it/detail/2d0aea06-f6a4-44da-9da7-a2954e97f434" TargetMode="External"/><Relationship Id="rId4" Type="http://schemas.openxmlformats.org/officeDocument/2006/relationships/hyperlink" Target="https://crusc-gepas.perlapa.gov.it/detail/73867905-792b-4490-b756-f6a1337c835a" TargetMode="External"/><Relationship Id="rId5" Type="http://schemas.openxmlformats.org/officeDocument/2006/relationships/hyperlink" Target="https://crusc-gepas.perlapa.gov.it/detail/bbe12437-6686-4f56-a4a3-3b7dd8c7c79e" TargetMode="External"/><Relationship Id="rId6" Type="http://schemas.openxmlformats.org/officeDocument/2006/relationships/hyperlink" Target="https://cgsse.it/calendario-scioperi/dettaglio-sciopero/381821" TargetMode="External"/><Relationship Id="rId7" Type="http://schemas.openxmlformats.org/officeDocument/2006/relationships/hyperlink" Target="https://cgsse.it/calendario-scioperi/dettaglio-sciopero/382250" TargetMode="External"/><Relationship Id="rId8" Type="http://schemas.openxmlformats.org/officeDocument/2006/relationships/hyperlink" Target="https://cgsse.it/calendario-scioperi/dettaglio-sciopero/382300" TargetMode="External"/><Relationship Id="rId9" Type="http://schemas.openxmlformats.org/officeDocument/2006/relationships/hyperlink" Target="https://cgsse.it/calendario-scioperi/dettaglio-sciopero/379711" TargetMode="External"/><Relationship Id="rId10" Type="http://schemas.openxmlformats.org/officeDocument/2006/relationships/hyperlink" Target="https://cgsse.it/calendario-scioperi/dettaglio-sciopero/382192" TargetMode="External"/><Relationship Id="rId11" Type="http://schemas.openxmlformats.org/officeDocument/2006/relationships/hyperlink" Target="https://cgsse.it/calendario-scioperi/dettaglio-sciopero/381936" TargetMode="Externa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LibreOffice/26.2.6.3$Windows_X86_64 LibreOffice_project/8221e31b3ac356a1623c672912a3d2b492f7e3d1</Application>
  <AppVersion>15.0000</AppVersion>
  <Pages>1</Pages>
  <Words>207</Words>
  <Characters>1253</Characters>
  <CharactersWithSpaces>1456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2026-10-07T14:18:00Z</dcterms:created>
  <dc:creator>Marziali Raffaella</dc:creator>
  <dc:description/>
  <dc:language>it-IT</dc:language>
  <cp:lastModifiedBy>Malacrino Floriana</cp:lastModifiedBy>
  <dcterms:modified xsi:type="dcterms:W3CDTF">2026-10-21T14:28:00Z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